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952"/>
        <w:gridCol w:w="2952"/>
      </w:tblGrid>
      <w:tr w:rsidR="00F914DE" w:rsidRPr="00F914DE" w14:paraId="6A3FB39D" w14:textId="77777777" w:rsidTr="47106481">
        <w:trPr>
          <w:cantSplit/>
          <w:jc w:val="center"/>
        </w:trPr>
        <w:tc>
          <w:tcPr>
            <w:tcW w:w="8694" w:type="dxa"/>
            <w:gridSpan w:val="3"/>
          </w:tcPr>
          <w:p w14:paraId="4355B9D0" w14:textId="77777777" w:rsidR="00585EDF" w:rsidRPr="00F914DE" w:rsidRDefault="00585EDF">
            <w:pPr>
              <w:jc w:val="center"/>
              <w:rPr>
                <w:b/>
              </w:rPr>
            </w:pPr>
            <w:r w:rsidRPr="00F914DE">
              <w:rPr>
                <w:b/>
              </w:rPr>
              <w:t>Policy and Procedure Manual</w:t>
            </w:r>
          </w:p>
          <w:p w14:paraId="7A48E66B" w14:textId="77777777" w:rsidR="00585EDF" w:rsidRPr="00F914DE" w:rsidRDefault="00585EDF">
            <w:pPr>
              <w:jc w:val="center"/>
            </w:pPr>
            <w:r w:rsidRPr="00F914DE">
              <w:rPr>
                <w:b/>
              </w:rPr>
              <w:t>Saginaw County Community Mental Health Authority</w:t>
            </w:r>
          </w:p>
        </w:tc>
      </w:tr>
      <w:tr w:rsidR="00F914DE" w:rsidRPr="00F914DE" w14:paraId="4C6FA605" w14:textId="77777777" w:rsidTr="47106481">
        <w:trPr>
          <w:jc w:val="center"/>
        </w:trPr>
        <w:tc>
          <w:tcPr>
            <w:tcW w:w="2790" w:type="dxa"/>
          </w:tcPr>
          <w:p w14:paraId="67071AB8" w14:textId="77777777" w:rsidR="00585EDF" w:rsidRPr="00F914DE" w:rsidRDefault="00585EDF" w:rsidP="002D39D2">
            <w:r w:rsidRPr="00F914DE">
              <w:rPr>
                <w:b/>
              </w:rPr>
              <w:t>Subject</w:t>
            </w:r>
            <w:r w:rsidRPr="00F914DE">
              <w:t xml:space="preserve">: Recipient Rights – </w:t>
            </w:r>
            <w:r w:rsidR="002D39D2" w:rsidRPr="00F914DE">
              <w:t>Recipient</w:t>
            </w:r>
            <w:r w:rsidRPr="00F914DE">
              <w:t xml:space="preserve"> Labor</w:t>
            </w:r>
          </w:p>
          <w:p w14:paraId="672A6659" w14:textId="77777777" w:rsidR="00585EDF" w:rsidRPr="00F914DE" w:rsidRDefault="00585EDF"/>
        </w:tc>
        <w:tc>
          <w:tcPr>
            <w:tcW w:w="2952" w:type="dxa"/>
          </w:tcPr>
          <w:p w14:paraId="36F01ADC" w14:textId="77777777" w:rsidR="001058CC" w:rsidRPr="00F914DE" w:rsidRDefault="00585EDF" w:rsidP="001058CC">
            <w:r w:rsidRPr="00F914DE">
              <w:rPr>
                <w:b/>
              </w:rPr>
              <w:t>Chapter</w:t>
            </w:r>
            <w:r w:rsidR="001058CC" w:rsidRPr="00F914DE">
              <w:t>: 02</w:t>
            </w:r>
            <w:r w:rsidR="00D06B49">
              <w:t xml:space="preserve"> -</w:t>
            </w:r>
          </w:p>
          <w:p w14:paraId="04CB8D45" w14:textId="77777777" w:rsidR="00585EDF" w:rsidRPr="00F914DE" w:rsidRDefault="001058CC" w:rsidP="001058CC">
            <w:r w:rsidRPr="00F914DE">
              <w:t>Customer Service and Recipient Rights</w:t>
            </w:r>
          </w:p>
        </w:tc>
        <w:tc>
          <w:tcPr>
            <w:tcW w:w="2952" w:type="dxa"/>
          </w:tcPr>
          <w:p w14:paraId="60355B2A" w14:textId="77777777" w:rsidR="00585EDF" w:rsidRPr="00F914DE" w:rsidRDefault="00585EDF">
            <w:r w:rsidRPr="00F914DE">
              <w:rPr>
                <w:b/>
              </w:rPr>
              <w:t>Subject No</w:t>
            </w:r>
            <w:r w:rsidRPr="00F914DE">
              <w:t>: 02.02.26</w:t>
            </w:r>
          </w:p>
        </w:tc>
      </w:tr>
      <w:tr w:rsidR="006E4E22" w:rsidRPr="00F914DE" w14:paraId="1850357F" w14:textId="77777777" w:rsidTr="47106481">
        <w:trPr>
          <w:cantSplit/>
          <w:trHeight w:val="233"/>
          <w:jc w:val="center"/>
        </w:trPr>
        <w:tc>
          <w:tcPr>
            <w:tcW w:w="2790" w:type="dxa"/>
            <w:vMerge w:val="restart"/>
          </w:tcPr>
          <w:p w14:paraId="3D51AC13" w14:textId="77777777" w:rsidR="006E4E22" w:rsidRPr="00F914DE" w:rsidRDefault="006E4E22">
            <w:r w:rsidRPr="00F914DE">
              <w:rPr>
                <w:b/>
              </w:rPr>
              <w:t>Effective Date</w:t>
            </w:r>
            <w:r w:rsidRPr="00F914DE">
              <w:t xml:space="preserve">: </w:t>
            </w:r>
          </w:p>
          <w:p w14:paraId="2FE08727" w14:textId="77777777" w:rsidR="006E4E22" w:rsidRPr="00F914DE" w:rsidRDefault="006E4E22">
            <w:r w:rsidRPr="00F914DE">
              <w:t>March 7, 2000</w:t>
            </w:r>
          </w:p>
        </w:tc>
        <w:tc>
          <w:tcPr>
            <w:tcW w:w="2952" w:type="dxa"/>
          </w:tcPr>
          <w:p w14:paraId="39B2C33D" w14:textId="77777777" w:rsidR="006E4E22" w:rsidRPr="00F60183" w:rsidRDefault="006E4E22">
            <w:r w:rsidRPr="00F60183">
              <w:rPr>
                <w:b/>
              </w:rPr>
              <w:t>Date of Review/Revision</w:t>
            </w:r>
            <w:r w:rsidRPr="00F60183">
              <w:t>:</w:t>
            </w:r>
          </w:p>
          <w:p w14:paraId="7F577CAE" w14:textId="413AFB30" w:rsidR="006E4E22" w:rsidRPr="00F60183" w:rsidRDefault="006E4E22" w:rsidP="00962748">
            <w:r w:rsidRPr="00F60183">
              <w:t>3/19/03</w:t>
            </w:r>
            <w:r w:rsidR="00962748" w:rsidRPr="00F60183">
              <w:t>,</w:t>
            </w:r>
            <w:r w:rsidRPr="00F60183">
              <w:t xml:space="preserve"> 1/25/08</w:t>
            </w:r>
            <w:r w:rsidR="00962748" w:rsidRPr="00F60183">
              <w:t>,</w:t>
            </w:r>
            <w:r w:rsidRPr="00F60183">
              <w:t xml:space="preserve"> 7/13/09</w:t>
            </w:r>
            <w:r w:rsidR="00962748" w:rsidRPr="00F60183">
              <w:t>,</w:t>
            </w:r>
            <w:r w:rsidRPr="00F60183">
              <w:t xml:space="preserve"> 6/19/12</w:t>
            </w:r>
            <w:r w:rsidR="00962748" w:rsidRPr="00F60183">
              <w:t>,</w:t>
            </w:r>
            <w:r w:rsidRPr="00F60183">
              <w:t xml:space="preserve"> 6/14/14</w:t>
            </w:r>
            <w:r w:rsidR="00962748" w:rsidRPr="00F60183">
              <w:t>,</w:t>
            </w:r>
            <w:r w:rsidRPr="00F60183">
              <w:t xml:space="preserve"> 11/27/16</w:t>
            </w:r>
            <w:r w:rsidR="00962748" w:rsidRPr="00F60183">
              <w:t>,</w:t>
            </w:r>
            <w:r w:rsidRPr="00F60183">
              <w:t xml:space="preserve"> 6/2/18</w:t>
            </w:r>
            <w:r w:rsidR="007978E0" w:rsidRPr="00F60183">
              <w:t>, 1/8/19</w:t>
            </w:r>
            <w:r w:rsidR="008F6CA9" w:rsidRPr="00F60183">
              <w:t>,</w:t>
            </w:r>
            <w:r w:rsidR="007062A0" w:rsidRPr="00F60183">
              <w:t xml:space="preserve"> 2/11/20</w:t>
            </w:r>
            <w:r w:rsidR="00F12C13" w:rsidRPr="00F60183">
              <w:t>, 2/9/21</w:t>
            </w:r>
            <w:r w:rsidR="00FD7880" w:rsidRPr="00F60183">
              <w:t>, 5/10/22</w:t>
            </w:r>
            <w:r w:rsidR="00A23CEC" w:rsidRPr="00F60183">
              <w:t>, 3/14/23</w:t>
            </w:r>
          </w:p>
        </w:tc>
        <w:tc>
          <w:tcPr>
            <w:tcW w:w="2952" w:type="dxa"/>
            <w:vMerge w:val="restart"/>
          </w:tcPr>
          <w:p w14:paraId="5343F3E5" w14:textId="77777777" w:rsidR="006E4E22" w:rsidRPr="00F60183" w:rsidRDefault="006E4E22" w:rsidP="00877C23">
            <w:r w:rsidRPr="00F60183">
              <w:rPr>
                <w:b/>
              </w:rPr>
              <w:t>Approved By</w:t>
            </w:r>
            <w:r w:rsidRPr="00F60183">
              <w:t>:</w:t>
            </w:r>
          </w:p>
          <w:p w14:paraId="7FBC8A4E" w14:textId="77777777" w:rsidR="006E4E22" w:rsidRPr="00F60183" w:rsidRDefault="006E4E22" w:rsidP="00877C23">
            <w:r w:rsidRPr="00F60183">
              <w:t>Sandra M. Lindsey, CEO</w:t>
            </w:r>
          </w:p>
          <w:p w14:paraId="0A37501D" w14:textId="77777777" w:rsidR="006E4E22" w:rsidRPr="00F60183" w:rsidRDefault="006E4E22" w:rsidP="00877C23"/>
          <w:p w14:paraId="5DAB6C7B" w14:textId="77777777" w:rsidR="00D06B49" w:rsidRPr="00F60183" w:rsidRDefault="00D06B49" w:rsidP="00877C23"/>
          <w:p w14:paraId="02EB378F" w14:textId="77777777" w:rsidR="00D06B49" w:rsidRPr="00F60183" w:rsidRDefault="00D06B49" w:rsidP="00877C23"/>
          <w:p w14:paraId="7A6741C6" w14:textId="77777777" w:rsidR="00A23CEC" w:rsidRPr="00F60183" w:rsidRDefault="00A23CEC" w:rsidP="00A23C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normaltextrun"/>
                <w:b/>
                <w:bCs/>
              </w:rPr>
              <w:t>Responsible Director:</w:t>
            </w:r>
            <w:r w:rsidRPr="00F60183">
              <w:rPr>
                <w:rStyle w:val="eop"/>
              </w:rPr>
              <w:t> </w:t>
            </w:r>
          </w:p>
          <w:p w14:paraId="665339C5" w14:textId="161FD878" w:rsidR="00A23CEC" w:rsidRPr="00F60183" w:rsidRDefault="00A23CEC" w:rsidP="00A23C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normaltextrun"/>
              </w:rPr>
              <w:t>Director of </w:t>
            </w:r>
            <w:r w:rsidRPr="00F60183">
              <w:rPr>
                <w:rStyle w:val="eop"/>
              </w:rPr>
              <w:t> </w:t>
            </w:r>
          </w:p>
          <w:p w14:paraId="21DC29B0" w14:textId="77777777" w:rsidR="00A23CEC" w:rsidRPr="00F60183" w:rsidRDefault="00A23CEC" w:rsidP="00A23C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normaltextrun"/>
              </w:rPr>
              <w:t>Customer Services,  Recipient Rights, &amp; Security</w:t>
            </w:r>
            <w:r w:rsidRPr="00F60183">
              <w:rPr>
                <w:rStyle w:val="eop"/>
              </w:rPr>
              <w:t> </w:t>
            </w:r>
          </w:p>
          <w:p w14:paraId="163806BA" w14:textId="77777777" w:rsidR="00A23CEC" w:rsidRPr="00F60183" w:rsidRDefault="00A23CEC" w:rsidP="00A23C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eop"/>
              </w:rPr>
              <w:t> </w:t>
            </w:r>
          </w:p>
          <w:p w14:paraId="7E66D37A" w14:textId="77777777" w:rsidR="00A23CEC" w:rsidRPr="00F60183" w:rsidRDefault="00A23CEC" w:rsidP="00A23C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normaltextrun"/>
                <w:b/>
                <w:bCs/>
              </w:rPr>
              <w:t>Authored By</w:t>
            </w:r>
            <w:r w:rsidRPr="00F60183">
              <w:rPr>
                <w:rStyle w:val="normaltextrun"/>
              </w:rPr>
              <w:t>:  </w:t>
            </w:r>
            <w:r w:rsidRPr="00F60183">
              <w:rPr>
                <w:rStyle w:val="eop"/>
              </w:rPr>
              <w:t> </w:t>
            </w:r>
          </w:p>
          <w:p w14:paraId="49CBDB37" w14:textId="5EC030E2" w:rsidR="00A23CEC" w:rsidRPr="00F60183" w:rsidRDefault="00A23CEC" w:rsidP="00A23C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normaltextrun"/>
              </w:rPr>
              <w:t>Director of Customer Services, Recipient Rights, &amp; Security</w:t>
            </w:r>
            <w:r w:rsidRPr="00F60183">
              <w:rPr>
                <w:rStyle w:val="eop"/>
              </w:rPr>
              <w:t> </w:t>
            </w:r>
          </w:p>
          <w:p w14:paraId="2CA5BC66" w14:textId="77777777" w:rsidR="00A23CEC" w:rsidRPr="00F60183" w:rsidRDefault="00A23CEC" w:rsidP="00A23C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eop"/>
              </w:rPr>
              <w:t> </w:t>
            </w:r>
          </w:p>
          <w:p w14:paraId="48C9DA01" w14:textId="0E203E46" w:rsidR="006E4E22" w:rsidRPr="00F60183" w:rsidRDefault="00A23CEC" w:rsidP="00F601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0183">
              <w:rPr>
                <w:rStyle w:val="normaltextrun"/>
                <w:b/>
                <w:bCs/>
              </w:rPr>
              <w:t>Additional Reviewers</w:t>
            </w:r>
            <w:r w:rsidRPr="00F60183">
              <w:rPr>
                <w:rStyle w:val="normaltextrun"/>
              </w:rPr>
              <w:t>:</w:t>
            </w:r>
            <w:r w:rsidRPr="00F60183">
              <w:rPr>
                <w:rStyle w:val="eop"/>
              </w:rPr>
              <w:t> </w:t>
            </w:r>
          </w:p>
        </w:tc>
      </w:tr>
      <w:tr w:rsidR="00F914DE" w:rsidRPr="00F914DE" w14:paraId="251ED35D" w14:textId="77777777" w:rsidTr="47106481">
        <w:trPr>
          <w:cantSplit/>
          <w:trHeight w:val="232"/>
          <w:jc w:val="center"/>
        </w:trPr>
        <w:tc>
          <w:tcPr>
            <w:tcW w:w="2790" w:type="dxa"/>
            <w:vMerge/>
          </w:tcPr>
          <w:p w14:paraId="41C8F396" w14:textId="77777777" w:rsidR="00585EDF" w:rsidRPr="00F914DE" w:rsidRDefault="00585EDF"/>
        </w:tc>
        <w:tc>
          <w:tcPr>
            <w:tcW w:w="2952" w:type="dxa"/>
          </w:tcPr>
          <w:p w14:paraId="3043EF14" w14:textId="77777777" w:rsidR="00585EDF" w:rsidRPr="00F60183" w:rsidRDefault="00D06B49">
            <w:r w:rsidRPr="00F60183">
              <w:rPr>
                <w:b/>
              </w:rPr>
              <w:t>Supers</w:t>
            </w:r>
            <w:r w:rsidR="00585EDF" w:rsidRPr="00F60183">
              <w:rPr>
                <w:b/>
              </w:rPr>
              <w:t>edes</w:t>
            </w:r>
            <w:r w:rsidR="00585EDF" w:rsidRPr="00F60183">
              <w:t>:</w:t>
            </w:r>
          </w:p>
          <w:p w14:paraId="0FF7955D" w14:textId="77777777" w:rsidR="00585EDF" w:rsidRPr="00F60183" w:rsidRDefault="00585EDF">
            <w:r w:rsidRPr="00F60183">
              <w:t>06.02.28.00</w:t>
            </w:r>
          </w:p>
        </w:tc>
        <w:tc>
          <w:tcPr>
            <w:tcW w:w="2952" w:type="dxa"/>
            <w:vMerge/>
          </w:tcPr>
          <w:p w14:paraId="72A3D3EC" w14:textId="77777777" w:rsidR="00585EDF" w:rsidRPr="00F60183" w:rsidRDefault="00585EDF"/>
        </w:tc>
      </w:tr>
      <w:tr w:rsidR="00F914DE" w:rsidRPr="00F914DE" w14:paraId="0D0B940D" w14:textId="77777777" w:rsidTr="47106481">
        <w:trPr>
          <w:cantSplit/>
          <w:trHeight w:val="285"/>
          <w:jc w:val="center"/>
        </w:trPr>
        <w:tc>
          <w:tcPr>
            <w:tcW w:w="5742" w:type="dxa"/>
            <w:gridSpan w:val="2"/>
            <w:vMerge w:val="restart"/>
          </w:tcPr>
          <w:p w14:paraId="0E27B00A" w14:textId="77777777" w:rsidR="00585EDF" w:rsidRPr="00F914DE" w:rsidRDefault="00585EDF">
            <w:pPr>
              <w:jc w:val="center"/>
            </w:pPr>
          </w:p>
          <w:p w14:paraId="60061E4C" w14:textId="77777777" w:rsidR="00585EDF" w:rsidRPr="00F914DE" w:rsidRDefault="009234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AEB9C" wp14:editId="5C01E6F4">
                  <wp:extent cx="130873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Merge/>
          </w:tcPr>
          <w:p w14:paraId="44EAFD9C" w14:textId="77777777" w:rsidR="00585EDF" w:rsidRPr="00F914DE" w:rsidRDefault="00585EDF"/>
        </w:tc>
      </w:tr>
      <w:tr w:rsidR="00F914DE" w:rsidRPr="00F914DE" w14:paraId="4B94D5A5" w14:textId="77777777" w:rsidTr="47106481">
        <w:trPr>
          <w:cantSplit/>
          <w:trHeight w:val="1232"/>
          <w:jc w:val="center"/>
        </w:trPr>
        <w:tc>
          <w:tcPr>
            <w:tcW w:w="5742" w:type="dxa"/>
            <w:gridSpan w:val="2"/>
            <w:vMerge/>
          </w:tcPr>
          <w:p w14:paraId="3DEEC669" w14:textId="77777777" w:rsidR="00585EDF" w:rsidRPr="00F914DE" w:rsidRDefault="00585EDF"/>
        </w:tc>
        <w:tc>
          <w:tcPr>
            <w:tcW w:w="2952" w:type="dxa"/>
            <w:vMerge/>
          </w:tcPr>
          <w:p w14:paraId="3656B9AB" w14:textId="77777777" w:rsidR="00585EDF" w:rsidRPr="00F914DE" w:rsidRDefault="00585EDF"/>
        </w:tc>
      </w:tr>
    </w:tbl>
    <w:p w14:paraId="45FB0818" w14:textId="77777777" w:rsidR="00585EDF" w:rsidRPr="00F914DE" w:rsidRDefault="00585EDF"/>
    <w:p w14:paraId="4FB3E2D4" w14:textId="77777777" w:rsidR="00585EDF" w:rsidRPr="00F914DE" w:rsidRDefault="00585EDF" w:rsidP="00970033">
      <w:pPr>
        <w:jc w:val="both"/>
        <w:rPr>
          <w:b/>
        </w:rPr>
      </w:pPr>
      <w:r w:rsidRPr="00F914DE">
        <w:rPr>
          <w:b/>
        </w:rPr>
        <w:t>Purpose:</w:t>
      </w:r>
    </w:p>
    <w:p w14:paraId="2D8582F2" w14:textId="77777777" w:rsidR="00585EDF" w:rsidRPr="00F914DE" w:rsidRDefault="002D39D2" w:rsidP="00970033">
      <w:pPr>
        <w:jc w:val="both"/>
      </w:pPr>
      <w:r w:rsidRPr="00F914DE">
        <w:t xml:space="preserve">The purpose of this policy is to set standards for appropriate compensation for work performed by </w:t>
      </w:r>
      <w:r w:rsidR="00F1220C" w:rsidRPr="00F914DE">
        <w:t xml:space="preserve">consumers </w:t>
      </w:r>
      <w:r w:rsidRPr="00F914DE">
        <w:t>of mental health services from Saginaw County Community Mental Health Authority (SCCMHA).</w:t>
      </w:r>
    </w:p>
    <w:p w14:paraId="049F31CB" w14:textId="77777777" w:rsidR="00585EDF" w:rsidRPr="00F914DE" w:rsidRDefault="00585EDF" w:rsidP="00970033">
      <w:pPr>
        <w:jc w:val="both"/>
      </w:pPr>
    </w:p>
    <w:p w14:paraId="67C4BC53" w14:textId="77777777" w:rsidR="00585EDF" w:rsidRPr="00F914DE" w:rsidRDefault="00585EDF" w:rsidP="00970033">
      <w:pPr>
        <w:jc w:val="both"/>
        <w:rPr>
          <w:b/>
        </w:rPr>
      </w:pPr>
      <w:r w:rsidRPr="00F914DE">
        <w:rPr>
          <w:b/>
        </w:rPr>
        <w:t>Policy:</w:t>
      </w:r>
    </w:p>
    <w:p w14:paraId="737D4590" w14:textId="77777777" w:rsidR="00585EDF" w:rsidRPr="00F914DE" w:rsidRDefault="005772D6" w:rsidP="00970033">
      <w:pPr>
        <w:jc w:val="both"/>
      </w:pPr>
      <w:r w:rsidRPr="00F914DE">
        <w:t xml:space="preserve">It is the policy of SCCMHA to ensure appropriate payment is rendered for work completed by </w:t>
      </w:r>
      <w:r w:rsidR="00F1220C" w:rsidRPr="00F914DE">
        <w:t>consumers</w:t>
      </w:r>
      <w:r w:rsidR="00B0593A" w:rsidRPr="00F914DE">
        <w:t>.</w:t>
      </w:r>
    </w:p>
    <w:p w14:paraId="53128261" w14:textId="77777777" w:rsidR="00585EDF" w:rsidRPr="00F914DE" w:rsidRDefault="00585EDF" w:rsidP="00970033">
      <w:pPr>
        <w:jc w:val="both"/>
      </w:pPr>
    </w:p>
    <w:p w14:paraId="009AA98A" w14:textId="77777777" w:rsidR="00585EDF" w:rsidRPr="00F914DE" w:rsidRDefault="00585EDF" w:rsidP="00970033">
      <w:pPr>
        <w:jc w:val="both"/>
        <w:rPr>
          <w:b/>
        </w:rPr>
      </w:pPr>
      <w:r w:rsidRPr="00F914DE">
        <w:rPr>
          <w:b/>
        </w:rPr>
        <w:t>Application:</w:t>
      </w:r>
    </w:p>
    <w:p w14:paraId="6F078F84" w14:textId="77777777" w:rsidR="005772D6" w:rsidRDefault="005772D6" w:rsidP="00970033">
      <w:pPr>
        <w:jc w:val="both"/>
      </w:pPr>
      <w:r w:rsidRPr="00F914DE">
        <w:t xml:space="preserve">This policy applies to all </w:t>
      </w:r>
      <w:r w:rsidR="00F1220C" w:rsidRPr="00F914DE">
        <w:t xml:space="preserve">consumers </w:t>
      </w:r>
      <w:r w:rsidRPr="00F914DE">
        <w:t>of SCCMHA including the Service Provider Network.</w:t>
      </w:r>
    </w:p>
    <w:p w14:paraId="62486C05" w14:textId="77777777" w:rsidR="007C6BE3" w:rsidRPr="00F914DE" w:rsidRDefault="007C6BE3" w:rsidP="00970033">
      <w:pPr>
        <w:jc w:val="both"/>
      </w:pPr>
    </w:p>
    <w:p w14:paraId="7A567BE0" w14:textId="77777777" w:rsidR="00585EDF" w:rsidRPr="00F914DE" w:rsidRDefault="00585EDF" w:rsidP="00970033">
      <w:pPr>
        <w:jc w:val="both"/>
        <w:rPr>
          <w:b/>
        </w:rPr>
      </w:pPr>
      <w:r w:rsidRPr="00F914DE">
        <w:rPr>
          <w:b/>
        </w:rPr>
        <w:t>Standards:</w:t>
      </w:r>
    </w:p>
    <w:p w14:paraId="57AA250D" w14:textId="77777777" w:rsidR="007C6BE3" w:rsidRDefault="00535EA0" w:rsidP="00535EA0">
      <w:pPr>
        <w:tabs>
          <w:tab w:val="left" w:pos="-720"/>
        </w:tabs>
        <w:suppressAutoHyphens/>
        <w:ind w:left="600" w:hanging="600"/>
        <w:jc w:val="both"/>
      </w:pPr>
      <w:r>
        <w:t>Q</w:t>
      </w:r>
      <w:r w:rsidR="00B0593A" w:rsidRPr="00F914DE">
        <w:t xml:space="preserve">1)  </w:t>
      </w:r>
      <w:r w:rsidRPr="00F914DE">
        <w:t>A consumer may perform labor which contributes to the operation and maintenance of the residence for which the residential agency would otherwise employ someone only if</w:t>
      </w:r>
      <w:r w:rsidR="007C6BE3">
        <w:t>:</w:t>
      </w:r>
    </w:p>
    <w:p w14:paraId="469404F8" w14:textId="77777777" w:rsidR="007C6BE3" w:rsidRDefault="007C6BE3" w:rsidP="007C6BE3">
      <w:pPr>
        <w:numPr>
          <w:ilvl w:val="0"/>
          <w:numId w:val="3"/>
        </w:numPr>
        <w:tabs>
          <w:tab w:val="left" w:pos="-720"/>
        </w:tabs>
        <w:suppressAutoHyphens/>
        <w:jc w:val="both"/>
      </w:pPr>
      <w:r>
        <w:t>T</w:t>
      </w:r>
      <w:r w:rsidR="00535EA0" w:rsidRPr="00F914DE">
        <w:t xml:space="preserve">he consumer voluntarily agrees to perform the labor </w:t>
      </w:r>
    </w:p>
    <w:p w14:paraId="35B211D5" w14:textId="77777777" w:rsidR="007C6BE3" w:rsidRDefault="007C6BE3" w:rsidP="007C6BE3">
      <w:pPr>
        <w:numPr>
          <w:ilvl w:val="0"/>
          <w:numId w:val="3"/>
        </w:numPr>
        <w:tabs>
          <w:tab w:val="left" w:pos="-720"/>
        </w:tabs>
        <w:suppressAutoHyphens/>
        <w:jc w:val="both"/>
      </w:pPr>
      <w:r>
        <w:t>E</w:t>
      </w:r>
      <w:r w:rsidR="00535EA0" w:rsidRPr="00F914DE">
        <w:t xml:space="preserve">ngaging in the labor would not be inconsistent with the Individual Plan of Service for the consumer </w:t>
      </w:r>
    </w:p>
    <w:p w14:paraId="398A544C" w14:textId="77777777" w:rsidR="007C6BE3" w:rsidRDefault="007C6BE3" w:rsidP="007C6BE3">
      <w:pPr>
        <w:numPr>
          <w:ilvl w:val="0"/>
          <w:numId w:val="3"/>
        </w:numPr>
        <w:tabs>
          <w:tab w:val="left" w:pos="-720"/>
        </w:tabs>
        <w:suppressAutoHyphens/>
        <w:jc w:val="both"/>
      </w:pPr>
      <w:r>
        <w:t>T</w:t>
      </w:r>
      <w:r w:rsidR="00535EA0" w:rsidRPr="00F914DE">
        <w:t xml:space="preserve">he amount of time or effort necessary to perform the labor would not be excessive  </w:t>
      </w:r>
    </w:p>
    <w:p w14:paraId="5C09EDEC" w14:textId="77777777" w:rsidR="00535EA0" w:rsidRPr="00F914DE" w:rsidRDefault="00535EA0" w:rsidP="007C6BE3">
      <w:pPr>
        <w:numPr>
          <w:ilvl w:val="0"/>
          <w:numId w:val="3"/>
        </w:numPr>
        <w:tabs>
          <w:tab w:val="left" w:pos="-720"/>
        </w:tabs>
        <w:suppressAutoHyphens/>
        <w:jc w:val="both"/>
      </w:pPr>
      <w:r w:rsidRPr="00F914DE">
        <w:t>In no event shall discharge or privileges be conditioned upon the performance of such labor</w:t>
      </w:r>
    </w:p>
    <w:p w14:paraId="4101652C" w14:textId="77777777" w:rsidR="00B0593A" w:rsidRPr="00F914DE" w:rsidRDefault="00B0593A" w:rsidP="00535EA0">
      <w:pPr>
        <w:tabs>
          <w:tab w:val="left" w:pos="-720"/>
        </w:tabs>
        <w:suppressAutoHyphens/>
        <w:jc w:val="both"/>
        <w:rPr>
          <w:snapToGrid w:val="0"/>
        </w:rPr>
      </w:pPr>
    </w:p>
    <w:p w14:paraId="74AFF181" w14:textId="77777777" w:rsidR="00B0593A" w:rsidRPr="00F914DE" w:rsidRDefault="00535EA0" w:rsidP="00A376DA">
      <w:pPr>
        <w:tabs>
          <w:tab w:val="left" w:pos="-720"/>
        </w:tabs>
        <w:suppressAutoHyphens/>
        <w:ind w:left="600" w:hanging="600"/>
        <w:jc w:val="both"/>
      </w:pPr>
      <w:r>
        <w:rPr>
          <w:snapToGrid w:val="0"/>
        </w:rPr>
        <w:lastRenderedPageBreak/>
        <w:t>Q</w:t>
      </w:r>
      <w:r w:rsidR="00B0593A" w:rsidRPr="00F914DE">
        <w:rPr>
          <w:snapToGrid w:val="0"/>
        </w:rPr>
        <w:t xml:space="preserve">2)  </w:t>
      </w:r>
      <w:r w:rsidR="00B0593A" w:rsidRPr="00F914DE">
        <w:t xml:space="preserve">Consumers will be </w:t>
      </w:r>
      <w:r w:rsidR="00B0593A" w:rsidRPr="00962748">
        <w:t xml:space="preserve">compensated </w:t>
      </w:r>
      <w:r w:rsidR="007C6BE3" w:rsidRPr="00962748">
        <w:t xml:space="preserve">appropriately </w:t>
      </w:r>
      <w:r w:rsidR="00B0593A" w:rsidRPr="00962748">
        <w:t xml:space="preserve">for the performance of work which the agency would otherwise </w:t>
      </w:r>
      <w:r w:rsidR="007C6BE3" w:rsidRPr="00962748">
        <w:t>employ someone.  This includes complying with applicable federal and state labor laws, including minimum wage and minimum reduction provisions.</w:t>
      </w:r>
      <w:r w:rsidR="007C6BE3">
        <w:rPr>
          <w:color w:val="FF0000"/>
        </w:rPr>
        <w:t xml:space="preserve">   </w:t>
      </w:r>
    </w:p>
    <w:p w14:paraId="4B99056E" w14:textId="77777777" w:rsidR="00B0593A" w:rsidRPr="00F914DE" w:rsidRDefault="00B0593A" w:rsidP="00943EF1">
      <w:pPr>
        <w:tabs>
          <w:tab w:val="left" w:pos="-720"/>
        </w:tabs>
        <w:suppressAutoHyphens/>
        <w:jc w:val="both"/>
      </w:pPr>
    </w:p>
    <w:p w14:paraId="1380885E" w14:textId="77797B08" w:rsidR="00B0593A" w:rsidRPr="00F914DE" w:rsidRDefault="00943EF1" w:rsidP="47106481">
      <w:pPr>
        <w:suppressAutoHyphens/>
        <w:ind w:left="600" w:hanging="600"/>
        <w:jc w:val="both"/>
      </w:pPr>
      <w:r>
        <w:t>Q3</w:t>
      </w:r>
      <w:r w:rsidR="00047A0B">
        <w:t xml:space="preserve">) </w:t>
      </w:r>
      <w:r w:rsidR="3878B30D">
        <w:t xml:space="preserve"> </w:t>
      </w:r>
      <w:r w:rsidR="00B0593A">
        <w:t>Consumers will be compensated for performing labor which benefits another person/agency.</w:t>
      </w:r>
    </w:p>
    <w:p w14:paraId="1299C43A" w14:textId="77777777" w:rsidR="00B0593A" w:rsidRPr="00F914DE" w:rsidRDefault="00B0593A" w:rsidP="00970033">
      <w:pPr>
        <w:tabs>
          <w:tab w:val="left" w:pos="-720"/>
        </w:tabs>
        <w:suppressAutoHyphens/>
        <w:jc w:val="both"/>
      </w:pPr>
    </w:p>
    <w:p w14:paraId="26235D5F" w14:textId="77777777" w:rsidR="00B0593A" w:rsidRPr="00F914DE" w:rsidRDefault="009D68B2" w:rsidP="00A376DA">
      <w:pPr>
        <w:tabs>
          <w:tab w:val="left" w:pos="-720"/>
        </w:tabs>
        <w:suppressAutoHyphens/>
        <w:ind w:left="480" w:hanging="480"/>
        <w:jc w:val="both"/>
      </w:pPr>
      <w:r>
        <w:t>Q4</w:t>
      </w:r>
      <w:r w:rsidR="006E4E22">
        <w:t xml:space="preserve">) A </w:t>
      </w:r>
      <w:r w:rsidR="00B0593A" w:rsidRPr="00F914DE">
        <w:t xml:space="preserve">consumer need not be compensated for </w:t>
      </w:r>
      <w:r w:rsidR="00AD0E73" w:rsidRPr="00F914DE">
        <w:t xml:space="preserve">personal </w:t>
      </w:r>
      <w:r w:rsidR="00B0593A" w:rsidRPr="00F914DE">
        <w:t xml:space="preserve">self-care and personal </w:t>
      </w:r>
      <w:r w:rsidR="00AD0E73" w:rsidRPr="00F914DE">
        <w:t xml:space="preserve">housekeeping.  </w:t>
      </w:r>
    </w:p>
    <w:p w14:paraId="4DDBEF00" w14:textId="77777777" w:rsidR="00B0593A" w:rsidRPr="00F914DE" w:rsidRDefault="00B0593A" w:rsidP="00A376DA">
      <w:pPr>
        <w:tabs>
          <w:tab w:val="left" w:pos="-720"/>
        </w:tabs>
        <w:suppressAutoHyphens/>
        <w:ind w:left="480" w:hanging="480"/>
        <w:jc w:val="both"/>
      </w:pPr>
    </w:p>
    <w:p w14:paraId="405A63EB" w14:textId="77777777" w:rsidR="00B0593A" w:rsidRPr="00F914DE" w:rsidRDefault="009D68B2" w:rsidP="00A376DA">
      <w:pPr>
        <w:tabs>
          <w:tab w:val="left" w:pos="-720"/>
        </w:tabs>
        <w:suppressAutoHyphens/>
        <w:ind w:left="480" w:hanging="480"/>
        <w:jc w:val="both"/>
      </w:pPr>
      <w:r>
        <w:t>Q5</w:t>
      </w:r>
      <w:r w:rsidR="00B0593A" w:rsidRPr="00F914DE">
        <w:t xml:space="preserve">)  One-half of any compensation paid to a consumer under this section is exempt from collection under the Mental Health Code, as payment for </w:t>
      </w:r>
      <w:r w:rsidR="00AD0E73" w:rsidRPr="00F914DE">
        <w:t xml:space="preserve">mental health </w:t>
      </w:r>
      <w:r w:rsidR="00B0593A" w:rsidRPr="00F914DE">
        <w:t>services rendered.</w:t>
      </w:r>
    </w:p>
    <w:p w14:paraId="3461D779" w14:textId="77777777" w:rsidR="00B0593A" w:rsidRPr="00F914DE" w:rsidRDefault="00B0593A" w:rsidP="00A376DA">
      <w:pPr>
        <w:tabs>
          <w:tab w:val="left" w:pos="-720"/>
        </w:tabs>
        <w:suppressAutoHyphens/>
        <w:ind w:left="480" w:hanging="480"/>
        <w:jc w:val="both"/>
      </w:pPr>
    </w:p>
    <w:p w14:paraId="7B5F9296" w14:textId="42A48B7D" w:rsidR="00B0593A" w:rsidRPr="00F914DE" w:rsidRDefault="00A57411" w:rsidP="47106481">
      <w:pPr>
        <w:suppressAutoHyphens/>
        <w:ind w:left="480" w:hanging="480"/>
        <w:jc w:val="both"/>
      </w:pPr>
      <w:r>
        <w:t>Q6</w:t>
      </w:r>
      <w:r w:rsidR="00047A0B">
        <w:t xml:space="preserve">) </w:t>
      </w:r>
      <w:r w:rsidR="00B0593A">
        <w:t xml:space="preserve">Consumers with open and active cases who have vocational/employment goals as part of their treatment plan will be compensated for work performed commensurate with current applicable State and local laws.  </w:t>
      </w:r>
    </w:p>
    <w:p w14:paraId="3CF2D8B6" w14:textId="77777777" w:rsidR="00B0593A" w:rsidRPr="00F914DE" w:rsidRDefault="00B0593A" w:rsidP="00A376DA">
      <w:pPr>
        <w:tabs>
          <w:tab w:val="left" w:pos="-720"/>
        </w:tabs>
        <w:suppressAutoHyphens/>
        <w:ind w:left="480" w:hanging="480"/>
        <w:jc w:val="both"/>
      </w:pPr>
    </w:p>
    <w:p w14:paraId="0836E23D" w14:textId="77777777" w:rsidR="00B0593A" w:rsidRPr="00F914DE" w:rsidRDefault="00A57411" w:rsidP="00A376DA">
      <w:pPr>
        <w:tabs>
          <w:tab w:val="left" w:pos="-720"/>
        </w:tabs>
        <w:suppressAutoHyphens/>
        <w:ind w:left="480" w:hanging="480"/>
        <w:jc w:val="both"/>
      </w:pPr>
      <w:r>
        <w:t>Q7</w:t>
      </w:r>
      <w:r w:rsidR="00B0593A" w:rsidRPr="00F914DE">
        <w:t>)  Work activities considered inappropriate are those which:</w:t>
      </w:r>
    </w:p>
    <w:p w14:paraId="628A093D" w14:textId="77777777" w:rsidR="00B0593A" w:rsidRPr="00F914DE" w:rsidRDefault="00B0593A" w:rsidP="00970033">
      <w:pPr>
        <w:tabs>
          <w:tab w:val="left" w:pos="-720"/>
          <w:tab w:val="left" w:pos="1080"/>
        </w:tabs>
        <w:suppressAutoHyphens/>
        <w:ind w:left="1080" w:hanging="360"/>
        <w:jc w:val="both"/>
      </w:pPr>
      <w:r w:rsidRPr="00F914DE">
        <w:t>a)</w:t>
      </w:r>
      <w:r w:rsidRPr="00F914DE">
        <w:tab/>
        <w:t>Lack appropriate planning and supervision</w:t>
      </w:r>
    </w:p>
    <w:p w14:paraId="4D542682" w14:textId="77777777" w:rsidR="00B0593A" w:rsidRPr="00F914DE" w:rsidRDefault="00B0593A" w:rsidP="00970033">
      <w:pPr>
        <w:tabs>
          <w:tab w:val="left" w:pos="-720"/>
          <w:tab w:val="left" w:pos="1080"/>
        </w:tabs>
        <w:suppressAutoHyphens/>
        <w:ind w:left="1080" w:hanging="360"/>
        <w:jc w:val="both"/>
      </w:pPr>
      <w:r w:rsidRPr="00F914DE">
        <w:t>b)</w:t>
      </w:r>
      <w:r w:rsidRPr="00F914DE">
        <w:tab/>
        <w:t>Are supervisory in nature</w:t>
      </w:r>
    </w:p>
    <w:p w14:paraId="42B2C299" w14:textId="77777777" w:rsidR="00B0593A" w:rsidRPr="00F914DE" w:rsidRDefault="00B0593A" w:rsidP="00970033">
      <w:pPr>
        <w:tabs>
          <w:tab w:val="left" w:pos="-720"/>
          <w:tab w:val="left" w:pos="1080"/>
        </w:tabs>
        <w:suppressAutoHyphens/>
        <w:ind w:left="1080" w:hanging="360"/>
        <w:jc w:val="both"/>
      </w:pPr>
      <w:r w:rsidRPr="00F914DE">
        <w:t>c)</w:t>
      </w:r>
      <w:r w:rsidRPr="00F914DE">
        <w:tab/>
        <w:t xml:space="preserve">Are hazardous either as defined under Federal, </w:t>
      </w:r>
      <w:proofErr w:type="gramStart"/>
      <w:r w:rsidRPr="00F914DE">
        <w:t>State</w:t>
      </w:r>
      <w:proofErr w:type="gramEnd"/>
      <w:r w:rsidRPr="00F914DE">
        <w:t xml:space="preserve"> or local law, or in light of an individual </w:t>
      </w:r>
      <w:r w:rsidR="00747EC6">
        <w:t>consumer's functional capacity</w:t>
      </w:r>
    </w:p>
    <w:p w14:paraId="65D9250B" w14:textId="77777777" w:rsidR="00B0593A" w:rsidRPr="00F914DE" w:rsidRDefault="00B0593A" w:rsidP="00970033">
      <w:pPr>
        <w:tabs>
          <w:tab w:val="left" w:pos="-720"/>
          <w:tab w:val="left" w:pos="1080"/>
        </w:tabs>
        <w:suppressAutoHyphens/>
        <w:ind w:left="1080" w:hanging="360"/>
        <w:jc w:val="both"/>
      </w:pPr>
      <w:r w:rsidRPr="00F914DE">
        <w:t>d)</w:t>
      </w:r>
      <w:r w:rsidRPr="00F914DE">
        <w:tab/>
        <w:t>Are not performed in accordance with an individualized treatment plan</w:t>
      </w:r>
    </w:p>
    <w:p w14:paraId="0FB78278" w14:textId="77777777" w:rsidR="00B0593A" w:rsidRPr="00F914DE" w:rsidRDefault="00B0593A" w:rsidP="00970033">
      <w:pPr>
        <w:tabs>
          <w:tab w:val="left" w:pos="-720"/>
        </w:tabs>
        <w:suppressAutoHyphens/>
        <w:jc w:val="both"/>
      </w:pPr>
    </w:p>
    <w:p w14:paraId="0ABB1D2F" w14:textId="11596CEB" w:rsidR="00B0593A" w:rsidRPr="00F914DE" w:rsidRDefault="00A57411" w:rsidP="47106481">
      <w:pPr>
        <w:suppressAutoHyphens/>
        <w:ind w:left="480" w:hanging="480"/>
        <w:jc w:val="both"/>
      </w:pPr>
      <w:r>
        <w:t>Q8</w:t>
      </w:r>
      <w:r w:rsidR="00047A0B">
        <w:t xml:space="preserve">) </w:t>
      </w:r>
      <w:r w:rsidR="124C16A5">
        <w:t xml:space="preserve"> </w:t>
      </w:r>
      <w:r w:rsidR="00B0593A">
        <w:t xml:space="preserve">Consumers who are under the legal working age as defined in applicable Federal </w:t>
      </w:r>
      <w:r w:rsidR="63C8CB1B">
        <w:t xml:space="preserve"> </w:t>
      </w:r>
      <w:r w:rsidR="00B0593A">
        <w:t>and State Child Labor laws may not engage in work.</w:t>
      </w:r>
    </w:p>
    <w:p w14:paraId="1FC39945" w14:textId="77777777" w:rsidR="00B0593A" w:rsidRPr="00F914DE" w:rsidRDefault="00B0593A" w:rsidP="00A376DA">
      <w:pPr>
        <w:tabs>
          <w:tab w:val="left" w:pos="-720"/>
        </w:tabs>
        <w:suppressAutoHyphens/>
        <w:ind w:left="480" w:hanging="480"/>
        <w:jc w:val="both"/>
      </w:pPr>
    </w:p>
    <w:p w14:paraId="5EC59193" w14:textId="4A817CDB" w:rsidR="00B0593A" w:rsidRPr="00F914DE" w:rsidRDefault="00A57411" w:rsidP="47106481">
      <w:pPr>
        <w:suppressAutoHyphens/>
        <w:ind w:left="480" w:hanging="480"/>
        <w:jc w:val="both"/>
      </w:pPr>
      <w:r>
        <w:t>Q9</w:t>
      </w:r>
      <w:r w:rsidR="00047A0B">
        <w:t>)</w:t>
      </w:r>
      <w:r w:rsidR="70B883D9">
        <w:t xml:space="preserve">  </w:t>
      </w:r>
      <w:r w:rsidR="00B0593A">
        <w:t xml:space="preserve">More than six hours of work per day must be approved by the agency </w:t>
      </w:r>
      <w:r w:rsidR="0073190B">
        <w:t xml:space="preserve">Clinical Risk Management Committee.  </w:t>
      </w:r>
    </w:p>
    <w:p w14:paraId="0562CB0E" w14:textId="77777777" w:rsidR="006B33CC" w:rsidRPr="00F914DE" w:rsidRDefault="006B33CC" w:rsidP="00A376DA">
      <w:pPr>
        <w:tabs>
          <w:tab w:val="left" w:pos="-720"/>
        </w:tabs>
        <w:suppressAutoHyphens/>
        <w:ind w:left="480" w:hanging="480"/>
        <w:jc w:val="both"/>
      </w:pPr>
    </w:p>
    <w:p w14:paraId="3C84B1B3" w14:textId="77777777" w:rsidR="006B33CC" w:rsidRDefault="00A57411" w:rsidP="00747EC6">
      <w:pPr>
        <w:tabs>
          <w:tab w:val="left" w:pos="-720"/>
        </w:tabs>
        <w:suppressAutoHyphens/>
        <w:ind w:left="540" w:hanging="540"/>
        <w:jc w:val="both"/>
      </w:pPr>
      <w:r>
        <w:t>Q10</w:t>
      </w:r>
      <w:r w:rsidR="00047A0B" w:rsidRPr="00F914DE">
        <w:t>)</w:t>
      </w:r>
      <w:r w:rsidR="00047A0B" w:rsidRPr="00F914DE">
        <w:tab/>
      </w:r>
      <w:r w:rsidR="006B33CC" w:rsidRPr="00F914DE">
        <w:t xml:space="preserve">The Americans with Disabilities Act, Policy #7105, will be followed for </w:t>
      </w:r>
      <w:r w:rsidR="00F1220C" w:rsidRPr="00F914DE">
        <w:t xml:space="preserve">consumers </w:t>
      </w:r>
      <w:r w:rsidR="006B33CC" w:rsidRPr="00F914DE">
        <w:t xml:space="preserve">with active or inactive cases who do not have vocational/employment goals as part of their treatment plan, and who seek employment or who are employed by </w:t>
      </w:r>
      <w:r w:rsidR="002D39D2" w:rsidRPr="00F914DE">
        <w:t>SCCMHA.</w:t>
      </w:r>
    </w:p>
    <w:p w14:paraId="62EBF3C5" w14:textId="77777777" w:rsidR="00585EDF" w:rsidRPr="00F914DE" w:rsidRDefault="00585EDF" w:rsidP="00970033">
      <w:pPr>
        <w:jc w:val="both"/>
      </w:pPr>
    </w:p>
    <w:p w14:paraId="6DACCE7B" w14:textId="77777777" w:rsidR="00585EDF" w:rsidRDefault="00585EDF" w:rsidP="00970033">
      <w:pPr>
        <w:jc w:val="both"/>
        <w:rPr>
          <w:b/>
        </w:rPr>
      </w:pPr>
      <w:r w:rsidRPr="00F914DE">
        <w:rPr>
          <w:b/>
        </w:rPr>
        <w:t>Definitions:</w:t>
      </w:r>
    </w:p>
    <w:p w14:paraId="4AFF79A3" w14:textId="77777777" w:rsidR="00B0593A" w:rsidRPr="00F914DE" w:rsidRDefault="00B0593A" w:rsidP="00970033">
      <w:pPr>
        <w:jc w:val="both"/>
      </w:pPr>
      <w:r w:rsidRPr="00F914DE">
        <w:rPr>
          <w:b/>
        </w:rPr>
        <w:t>Compensation:</w:t>
      </w:r>
      <w:r w:rsidRPr="00F914DE">
        <w:t xml:space="preserve">  As used in this policy refers to financially compensating a consumer to perform labor.  In other words, compensation is not to be considered giving consumer a token compensation such as a ticket to a concert or other event.</w:t>
      </w:r>
    </w:p>
    <w:p w14:paraId="6D98A12B" w14:textId="77777777" w:rsidR="0073190B" w:rsidRPr="00F914DE" w:rsidRDefault="0073190B" w:rsidP="00970033">
      <w:pPr>
        <w:jc w:val="both"/>
      </w:pPr>
    </w:p>
    <w:p w14:paraId="5AC6C242" w14:textId="77777777" w:rsidR="0073190B" w:rsidRPr="00F914DE" w:rsidRDefault="0073190B" w:rsidP="00970033">
      <w:pPr>
        <w:jc w:val="both"/>
      </w:pPr>
      <w:r w:rsidRPr="00F914DE">
        <w:rPr>
          <w:b/>
        </w:rPr>
        <w:t xml:space="preserve">Support Staff: </w:t>
      </w:r>
      <w:r w:rsidRPr="00F914DE">
        <w:t>Case Manager, Supports Coordinator, or Therapist</w:t>
      </w:r>
    </w:p>
    <w:p w14:paraId="2946DB82" w14:textId="77777777" w:rsidR="00585EDF" w:rsidRPr="00F914DE" w:rsidRDefault="00585EDF" w:rsidP="00970033">
      <w:pPr>
        <w:jc w:val="both"/>
      </w:pPr>
    </w:p>
    <w:p w14:paraId="7021E8D9" w14:textId="77777777" w:rsidR="00585EDF" w:rsidRPr="00F914DE" w:rsidRDefault="00585EDF" w:rsidP="00970033">
      <w:pPr>
        <w:jc w:val="both"/>
        <w:rPr>
          <w:b/>
        </w:rPr>
      </w:pPr>
      <w:r w:rsidRPr="00F914DE">
        <w:rPr>
          <w:b/>
        </w:rPr>
        <w:t xml:space="preserve">References: </w:t>
      </w:r>
    </w:p>
    <w:p w14:paraId="1922554B" w14:textId="77777777" w:rsidR="0073190B" w:rsidRPr="00F914DE" w:rsidRDefault="002D39D2" w:rsidP="00970033">
      <w:pPr>
        <w:pStyle w:val="Foot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F914DE">
        <w:rPr>
          <w:sz w:val="24"/>
          <w:szCs w:val="24"/>
        </w:rPr>
        <w:t>American with Disabilities Act, Policy #7105</w:t>
      </w:r>
      <w:r w:rsidR="0073190B" w:rsidRPr="00F914DE">
        <w:rPr>
          <w:sz w:val="24"/>
          <w:szCs w:val="24"/>
        </w:rPr>
        <w:t>;</w:t>
      </w:r>
      <w:r w:rsidRPr="00F914DE">
        <w:rPr>
          <w:sz w:val="24"/>
          <w:szCs w:val="24"/>
        </w:rPr>
        <w:t xml:space="preserve"> </w:t>
      </w:r>
    </w:p>
    <w:p w14:paraId="75A5BC61" w14:textId="77777777" w:rsidR="00585EDF" w:rsidRPr="00F914DE" w:rsidRDefault="006B33CC" w:rsidP="00970033">
      <w:pPr>
        <w:pStyle w:val="Foot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F914DE">
        <w:rPr>
          <w:sz w:val="24"/>
          <w:szCs w:val="24"/>
        </w:rPr>
        <w:lastRenderedPageBreak/>
        <w:t>Michigan Mental Health Code 330.1736</w:t>
      </w:r>
      <w:r w:rsidR="00952396" w:rsidRPr="00F914DE">
        <w:rPr>
          <w:sz w:val="24"/>
          <w:szCs w:val="24"/>
        </w:rPr>
        <w:t>;</w:t>
      </w:r>
    </w:p>
    <w:p w14:paraId="4A994E67" w14:textId="77777777" w:rsidR="0073190B" w:rsidRPr="00F914DE" w:rsidRDefault="0073190B" w:rsidP="00970033">
      <w:pPr>
        <w:pStyle w:val="Foot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F914DE">
        <w:rPr>
          <w:sz w:val="24"/>
          <w:szCs w:val="24"/>
        </w:rPr>
        <w:t xml:space="preserve">Administrative Rules </w:t>
      </w:r>
      <w:smartTag w:uri="urn:schemas-microsoft-com:office:smarttags" w:element="phone">
        <w:smartTagPr>
          <w:attr w:name="phonenumber" w:val="$6330$$$"/>
          <w:attr w:uri="urn:schemas-microsoft-com:office:office" w:name="ls" w:val="trans"/>
        </w:smartTagPr>
        <w:r w:rsidRPr="00F914DE">
          <w:rPr>
            <w:sz w:val="24"/>
            <w:szCs w:val="24"/>
          </w:rPr>
          <w:t>330.7229</w:t>
        </w:r>
      </w:smartTag>
    </w:p>
    <w:p w14:paraId="1564E67A" w14:textId="77777777" w:rsidR="00310332" w:rsidRDefault="00310332" w:rsidP="00970033">
      <w:pPr>
        <w:jc w:val="both"/>
        <w:rPr>
          <w:b/>
        </w:rPr>
      </w:pPr>
    </w:p>
    <w:p w14:paraId="5100B71E" w14:textId="38043B54" w:rsidR="00585EDF" w:rsidRPr="00F914DE" w:rsidRDefault="00585EDF" w:rsidP="00970033">
      <w:pPr>
        <w:jc w:val="both"/>
        <w:rPr>
          <w:b/>
        </w:rPr>
      </w:pPr>
      <w:r w:rsidRPr="00F914DE">
        <w:rPr>
          <w:b/>
        </w:rPr>
        <w:t>Exhibits</w:t>
      </w:r>
      <w:r w:rsidR="002D39D2" w:rsidRPr="00F914DE">
        <w:rPr>
          <w:b/>
        </w:rPr>
        <w:t>:</w:t>
      </w:r>
    </w:p>
    <w:p w14:paraId="3161A9A1" w14:textId="77777777" w:rsidR="002D39D2" w:rsidRPr="00F914DE" w:rsidRDefault="002D39D2">
      <w:pPr>
        <w:rPr>
          <w:bCs/>
        </w:rPr>
      </w:pPr>
      <w:r w:rsidRPr="00F914DE">
        <w:rPr>
          <w:bCs/>
        </w:rPr>
        <w:t>None</w:t>
      </w:r>
    </w:p>
    <w:p w14:paraId="110FFD37" w14:textId="77777777" w:rsidR="00585EDF" w:rsidRPr="00F914DE" w:rsidRDefault="00585EDF"/>
    <w:p w14:paraId="7EA824D2" w14:textId="77777777" w:rsidR="00585EDF" w:rsidRPr="00F914DE" w:rsidRDefault="00585EDF">
      <w:pPr>
        <w:rPr>
          <w:b/>
        </w:rPr>
      </w:pPr>
      <w:r w:rsidRPr="00F914DE">
        <w:rPr>
          <w:b/>
        </w:rPr>
        <w:t>Procedure: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4"/>
        <w:gridCol w:w="3456"/>
      </w:tblGrid>
      <w:tr w:rsidR="00585EDF" w:rsidRPr="00F914DE" w14:paraId="463FE0D1" w14:textId="77777777">
        <w:tc>
          <w:tcPr>
            <w:tcW w:w="5184" w:type="dxa"/>
            <w:tcBorders>
              <w:top w:val="nil"/>
              <w:bottom w:val="single" w:sz="4" w:space="0" w:color="auto"/>
              <w:right w:val="nil"/>
            </w:tcBorders>
          </w:tcPr>
          <w:p w14:paraId="5F5A5520" w14:textId="77777777" w:rsidR="00585EDF" w:rsidRPr="00F914DE" w:rsidRDefault="00585EDF">
            <w:pPr>
              <w:jc w:val="center"/>
            </w:pPr>
            <w:r w:rsidRPr="00F914DE">
              <w:t>ACTION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</w:tcBorders>
          </w:tcPr>
          <w:p w14:paraId="3E74F6B3" w14:textId="77777777" w:rsidR="00585EDF" w:rsidRPr="00F914DE" w:rsidRDefault="00585EDF">
            <w:pPr>
              <w:jc w:val="center"/>
            </w:pPr>
            <w:r w:rsidRPr="00F914DE">
              <w:t>RESPONSIBILITY</w:t>
            </w:r>
          </w:p>
        </w:tc>
      </w:tr>
      <w:tr w:rsidR="00585EDF" w:rsidRPr="00F914DE" w14:paraId="11A98474" w14:textId="77777777">
        <w:tc>
          <w:tcPr>
            <w:tcW w:w="5184" w:type="dxa"/>
            <w:tcBorders>
              <w:top w:val="single" w:sz="4" w:space="0" w:color="auto"/>
            </w:tcBorders>
          </w:tcPr>
          <w:p w14:paraId="6EDCBEEB" w14:textId="77777777" w:rsidR="002D39D2" w:rsidRPr="00F914DE" w:rsidRDefault="002D39D2" w:rsidP="001058C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ind w:left="360"/>
            </w:pPr>
            <w:r w:rsidRPr="00F914DE">
              <w:t xml:space="preserve">Participation in occupational training and/or work experience shall be documented as part of the </w:t>
            </w:r>
            <w:r w:rsidR="005772D6" w:rsidRPr="00F914DE">
              <w:t>I</w:t>
            </w:r>
            <w:r w:rsidRPr="00F914DE">
              <w:t xml:space="preserve">ndividual plan of </w:t>
            </w:r>
            <w:r w:rsidR="005772D6" w:rsidRPr="00F914DE">
              <w:t xml:space="preserve">Service. </w:t>
            </w:r>
          </w:p>
          <w:p w14:paraId="6B699379" w14:textId="77777777" w:rsidR="0073190B" w:rsidRPr="00F914DE" w:rsidRDefault="0073190B" w:rsidP="0073190B">
            <w:pPr>
              <w:tabs>
                <w:tab w:val="left" w:pos="-720"/>
              </w:tabs>
              <w:suppressAutoHyphens/>
            </w:pPr>
          </w:p>
          <w:p w14:paraId="653FB439" w14:textId="77777777" w:rsidR="002D39D2" w:rsidRPr="00F914DE" w:rsidRDefault="002D39D2" w:rsidP="001058C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ind w:left="360"/>
            </w:pPr>
            <w:r w:rsidRPr="00F914DE">
              <w:t xml:space="preserve">Participation in vocational/employment training shall be clearly documented in the </w:t>
            </w:r>
            <w:r w:rsidR="00F1220C" w:rsidRPr="00F914DE">
              <w:rPr>
                <w:snapToGrid w:val="0"/>
              </w:rPr>
              <w:t xml:space="preserve">consumer’s </w:t>
            </w:r>
            <w:r w:rsidR="0073190B" w:rsidRPr="00F914DE">
              <w:t>I</w:t>
            </w:r>
            <w:r w:rsidRPr="00F914DE">
              <w:t xml:space="preserve">ndividual </w:t>
            </w:r>
            <w:r w:rsidR="005772D6" w:rsidRPr="00F914DE">
              <w:t>Plan of Services.</w:t>
            </w:r>
            <w:r w:rsidRPr="00F914DE">
              <w:t xml:space="preserve"> </w:t>
            </w:r>
          </w:p>
          <w:p w14:paraId="3FE9F23F" w14:textId="77777777" w:rsidR="0073190B" w:rsidRPr="00F914DE" w:rsidRDefault="0073190B" w:rsidP="0073190B">
            <w:pPr>
              <w:tabs>
                <w:tab w:val="left" w:pos="-720"/>
              </w:tabs>
              <w:suppressAutoHyphens/>
            </w:pPr>
          </w:p>
          <w:p w14:paraId="342C71B8" w14:textId="77777777" w:rsidR="00585EDF" w:rsidRPr="00F914DE" w:rsidRDefault="005772D6" w:rsidP="001058C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ind w:left="360"/>
            </w:pPr>
            <w:r w:rsidRPr="00F914DE">
              <w:t xml:space="preserve">SCCMHA staff will work with the employer to ensure appropriate payment for work is made to the </w:t>
            </w:r>
            <w:r w:rsidR="00F1220C" w:rsidRPr="00F914DE">
              <w:t>consumer</w:t>
            </w:r>
            <w:r w:rsidRPr="00F914DE">
              <w:t>.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601084DB" w14:textId="77777777" w:rsidR="002D39D2" w:rsidRPr="00F914DE" w:rsidRDefault="0073190B" w:rsidP="001058CC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ind w:left="392"/>
            </w:pPr>
            <w:r w:rsidRPr="00F914DE">
              <w:t>Support Staff</w:t>
            </w:r>
          </w:p>
          <w:p w14:paraId="1F72F646" w14:textId="77777777" w:rsidR="0073190B" w:rsidRPr="00F914DE" w:rsidRDefault="0073190B" w:rsidP="0073190B">
            <w:pPr>
              <w:ind w:left="32"/>
            </w:pPr>
          </w:p>
          <w:p w14:paraId="08CE6F91" w14:textId="77777777" w:rsidR="0073190B" w:rsidRPr="00F914DE" w:rsidRDefault="0073190B" w:rsidP="0073190B">
            <w:pPr>
              <w:ind w:left="32"/>
            </w:pPr>
          </w:p>
          <w:p w14:paraId="61CDCEAD" w14:textId="77777777" w:rsidR="0073190B" w:rsidRPr="00F914DE" w:rsidRDefault="0073190B" w:rsidP="0073190B">
            <w:pPr>
              <w:ind w:left="32"/>
            </w:pPr>
          </w:p>
          <w:p w14:paraId="58D748B9" w14:textId="77777777" w:rsidR="002D39D2" w:rsidRPr="00F914DE" w:rsidRDefault="00ED04AA" w:rsidP="001058CC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ind w:left="392"/>
            </w:pPr>
            <w:r w:rsidRPr="00F914DE">
              <w:t>Support Staff</w:t>
            </w:r>
          </w:p>
          <w:p w14:paraId="6BB9E253" w14:textId="77777777" w:rsidR="00ED04AA" w:rsidRPr="00F914DE" w:rsidRDefault="00ED04AA" w:rsidP="001058CC">
            <w:pPr>
              <w:tabs>
                <w:tab w:val="num" w:pos="392"/>
              </w:tabs>
              <w:ind w:left="392"/>
            </w:pPr>
          </w:p>
          <w:p w14:paraId="23DE523C" w14:textId="77777777" w:rsidR="002D39D2" w:rsidRPr="00F914DE" w:rsidRDefault="002D39D2" w:rsidP="001058CC">
            <w:pPr>
              <w:tabs>
                <w:tab w:val="num" w:pos="392"/>
              </w:tabs>
              <w:ind w:left="392"/>
            </w:pPr>
          </w:p>
          <w:p w14:paraId="52E56223" w14:textId="77777777" w:rsidR="0073190B" w:rsidRPr="00F914DE" w:rsidRDefault="0073190B" w:rsidP="001058CC">
            <w:pPr>
              <w:tabs>
                <w:tab w:val="num" w:pos="392"/>
              </w:tabs>
              <w:ind w:left="392"/>
            </w:pPr>
          </w:p>
          <w:p w14:paraId="7C3CC27D" w14:textId="77777777" w:rsidR="005772D6" w:rsidRPr="00F914DE" w:rsidRDefault="00ED04AA" w:rsidP="001058CC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ind w:left="392"/>
            </w:pPr>
            <w:r w:rsidRPr="00F914DE">
              <w:t>Support Staff</w:t>
            </w:r>
          </w:p>
          <w:p w14:paraId="07547A01" w14:textId="77777777" w:rsidR="005772D6" w:rsidRPr="00F914DE" w:rsidRDefault="005772D6" w:rsidP="001058CC">
            <w:pPr>
              <w:tabs>
                <w:tab w:val="num" w:pos="392"/>
              </w:tabs>
              <w:ind w:left="392"/>
            </w:pPr>
          </w:p>
        </w:tc>
      </w:tr>
    </w:tbl>
    <w:p w14:paraId="5043CB0F" w14:textId="77777777" w:rsidR="00585EDF" w:rsidRPr="00F914DE" w:rsidRDefault="00585EDF"/>
    <w:sectPr w:rsidR="00585EDF" w:rsidRPr="00F914DE" w:rsidSect="00A376DA"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BC98" w14:textId="77777777" w:rsidR="007F4CB5" w:rsidRDefault="007F4CB5">
      <w:r>
        <w:separator/>
      </w:r>
    </w:p>
  </w:endnote>
  <w:endnote w:type="continuationSeparator" w:id="0">
    <w:p w14:paraId="584E42E5" w14:textId="77777777" w:rsidR="007F4CB5" w:rsidRDefault="007F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7C6BE3" w:rsidRDefault="007C6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871BC" w14:textId="77777777" w:rsidR="007C6BE3" w:rsidRDefault="007C6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F479" w14:textId="2B338D43" w:rsidR="007C6BE3" w:rsidRPr="008F6CA9" w:rsidRDefault="008F6CA9">
    <w:pPr>
      <w:pStyle w:val="Footer"/>
      <w:jc w:val="center"/>
      <w:rPr>
        <w:snapToGrid w:val="0"/>
      </w:rPr>
    </w:pPr>
    <w:r w:rsidRPr="008F6CA9">
      <w:rPr>
        <w:snapToGrid w:val="0"/>
      </w:rPr>
      <w:fldChar w:fldCharType="begin"/>
    </w:r>
    <w:r w:rsidRPr="008F6CA9">
      <w:rPr>
        <w:snapToGrid w:val="0"/>
      </w:rPr>
      <w:instrText xml:space="preserve"> FILENAME   \* MERGEFORMAT </w:instrText>
    </w:r>
    <w:r w:rsidRPr="008F6CA9">
      <w:rPr>
        <w:snapToGrid w:val="0"/>
      </w:rPr>
      <w:fldChar w:fldCharType="separate"/>
    </w:r>
    <w:r w:rsidR="007646E6">
      <w:rPr>
        <w:noProof/>
        <w:snapToGrid w:val="0"/>
      </w:rPr>
      <w:t>02.02.26 - Recipient Labor, Rev. 03-14-23</w:t>
    </w:r>
    <w:r w:rsidRPr="008F6CA9">
      <w:rPr>
        <w:snapToGrid w:val="0"/>
      </w:rPr>
      <w:fldChar w:fldCharType="end"/>
    </w:r>
    <w:r w:rsidR="007C6BE3" w:rsidRPr="008F6CA9">
      <w:rPr>
        <w:snapToGrid w:val="0"/>
      </w:rPr>
      <w:t xml:space="preserve">, Page </w:t>
    </w:r>
    <w:r w:rsidR="007C6BE3" w:rsidRPr="008F6CA9">
      <w:rPr>
        <w:snapToGrid w:val="0"/>
      </w:rPr>
      <w:fldChar w:fldCharType="begin"/>
    </w:r>
    <w:r w:rsidR="007C6BE3" w:rsidRPr="008F6CA9">
      <w:rPr>
        <w:snapToGrid w:val="0"/>
      </w:rPr>
      <w:instrText xml:space="preserve"> PAGE </w:instrText>
    </w:r>
    <w:r w:rsidR="007C6BE3" w:rsidRPr="008F6CA9">
      <w:rPr>
        <w:snapToGrid w:val="0"/>
      </w:rPr>
      <w:fldChar w:fldCharType="separate"/>
    </w:r>
    <w:r w:rsidR="00962748" w:rsidRPr="008F6CA9">
      <w:rPr>
        <w:noProof/>
        <w:snapToGrid w:val="0"/>
      </w:rPr>
      <w:t>1</w:t>
    </w:r>
    <w:r w:rsidR="007C6BE3" w:rsidRPr="008F6CA9">
      <w:rPr>
        <w:snapToGrid w:val="0"/>
      </w:rPr>
      <w:fldChar w:fldCharType="end"/>
    </w:r>
    <w:r w:rsidR="007C6BE3" w:rsidRPr="008F6CA9">
      <w:rPr>
        <w:snapToGrid w:val="0"/>
      </w:rPr>
      <w:t xml:space="preserve"> of </w:t>
    </w:r>
    <w:r w:rsidR="007C6BE3" w:rsidRPr="008F6CA9">
      <w:rPr>
        <w:snapToGrid w:val="0"/>
      </w:rPr>
      <w:fldChar w:fldCharType="begin"/>
    </w:r>
    <w:r w:rsidR="007C6BE3" w:rsidRPr="008F6CA9">
      <w:rPr>
        <w:snapToGrid w:val="0"/>
      </w:rPr>
      <w:instrText xml:space="preserve"> NUMPAGES </w:instrText>
    </w:r>
    <w:r w:rsidR="007C6BE3" w:rsidRPr="008F6CA9">
      <w:rPr>
        <w:snapToGrid w:val="0"/>
      </w:rPr>
      <w:fldChar w:fldCharType="separate"/>
    </w:r>
    <w:r w:rsidR="00962748" w:rsidRPr="008F6CA9">
      <w:rPr>
        <w:noProof/>
        <w:snapToGrid w:val="0"/>
      </w:rPr>
      <w:t>3</w:t>
    </w:r>
    <w:r w:rsidR="007C6BE3" w:rsidRPr="008F6CA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F6AF" w14:textId="77777777" w:rsidR="007F4CB5" w:rsidRDefault="007F4CB5">
      <w:r>
        <w:separator/>
      </w:r>
    </w:p>
  </w:footnote>
  <w:footnote w:type="continuationSeparator" w:id="0">
    <w:p w14:paraId="0E353ECE" w14:textId="77777777" w:rsidR="007F4CB5" w:rsidRDefault="007F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5A88"/>
    <w:multiLevelType w:val="hybridMultilevel"/>
    <w:tmpl w:val="EF228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22F1B"/>
    <w:multiLevelType w:val="hybridMultilevel"/>
    <w:tmpl w:val="619057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D70858"/>
    <w:multiLevelType w:val="hybridMultilevel"/>
    <w:tmpl w:val="7624E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178659">
    <w:abstractNumId w:val="2"/>
  </w:num>
  <w:num w:numId="2" w16cid:durableId="1519391619">
    <w:abstractNumId w:val="1"/>
  </w:num>
  <w:num w:numId="3" w16cid:durableId="67753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DF"/>
    <w:rsid w:val="00047A0B"/>
    <w:rsid w:val="00061605"/>
    <w:rsid w:val="001058CC"/>
    <w:rsid w:val="002013F3"/>
    <w:rsid w:val="0029164C"/>
    <w:rsid w:val="002D39D2"/>
    <w:rsid w:val="002E7A58"/>
    <w:rsid w:val="002F681C"/>
    <w:rsid w:val="00302C97"/>
    <w:rsid w:val="00310332"/>
    <w:rsid w:val="003D6FFF"/>
    <w:rsid w:val="00415577"/>
    <w:rsid w:val="00424095"/>
    <w:rsid w:val="00492180"/>
    <w:rsid w:val="004A7351"/>
    <w:rsid w:val="004C6087"/>
    <w:rsid w:val="004D2380"/>
    <w:rsid w:val="00525007"/>
    <w:rsid w:val="00535EA0"/>
    <w:rsid w:val="00561A93"/>
    <w:rsid w:val="00572FFB"/>
    <w:rsid w:val="005772D6"/>
    <w:rsid w:val="00585EDF"/>
    <w:rsid w:val="005A356B"/>
    <w:rsid w:val="005B2FA3"/>
    <w:rsid w:val="005B7D33"/>
    <w:rsid w:val="00653763"/>
    <w:rsid w:val="006B33CC"/>
    <w:rsid w:val="006C04E2"/>
    <w:rsid w:val="006E4C30"/>
    <w:rsid w:val="006E4E22"/>
    <w:rsid w:val="007062A0"/>
    <w:rsid w:val="0071155B"/>
    <w:rsid w:val="0073190B"/>
    <w:rsid w:val="00732938"/>
    <w:rsid w:val="00747EC6"/>
    <w:rsid w:val="007646E6"/>
    <w:rsid w:val="007978E0"/>
    <w:rsid w:val="007C6BE3"/>
    <w:rsid w:val="007F4CB5"/>
    <w:rsid w:val="00822EFF"/>
    <w:rsid w:val="00852239"/>
    <w:rsid w:val="0085450E"/>
    <w:rsid w:val="00872EDF"/>
    <w:rsid w:val="00877C23"/>
    <w:rsid w:val="00894E0D"/>
    <w:rsid w:val="008F6CA9"/>
    <w:rsid w:val="0092347D"/>
    <w:rsid w:val="00924C34"/>
    <w:rsid w:val="00932ADC"/>
    <w:rsid w:val="0093476E"/>
    <w:rsid w:val="00943EF1"/>
    <w:rsid w:val="00951222"/>
    <w:rsid w:val="00952396"/>
    <w:rsid w:val="00962748"/>
    <w:rsid w:val="00970033"/>
    <w:rsid w:val="00983737"/>
    <w:rsid w:val="009D68B2"/>
    <w:rsid w:val="009E5731"/>
    <w:rsid w:val="009F13E2"/>
    <w:rsid w:val="00A23CEC"/>
    <w:rsid w:val="00A25B69"/>
    <w:rsid w:val="00A376DA"/>
    <w:rsid w:val="00A57411"/>
    <w:rsid w:val="00AD0E73"/>
    <w:rsid w:val="00AF55EE"/>
    <w:rsid w:val="00B0593A"/>
    <w:rsid w:val="00B341BA"/>
    <w:rsid w:val="00B4531E"/>
    <w:rsid w:val="00B850A2"/>
    <w:rsid w:val="00C760D4"/>
    <w:rsid w:val="00C829C7"/>
    <w:rsid w:val="00D06B49"/>
    <w:rsid w:val="00D6716F"/>
    <w:rsid w:val="00DB11D9"/>
    <w:rsid w:val="00E11FD8"/>
    <w:rsid w:val="00E77BE3"/>
    <w:rsid w:val="00E92D15"/>
    <w:rsid w:val="00EB6B53"/>
    <w:rsid w:val="00ED04AA"/>
    <w:rsid w:val="00EE522C"/>
    <w:rsid w:val="00EF1A29"/>
    <w:rsid w:val="00F1220C"/>
    <w:rsid w:val="00F12C13"/>
    <w:rsid w:val="00F40985"/>
    <w:rsid w:val="00F60183"/>
    <w:rsid w:val="00F914DE"/>
    <w:rsid w:val="00FA5DB1"/>
    <w:rsid w:val="00FC778C"/>
    <w:rsid w:val="00FD7880"/>
    <w:rsid w:val="124C16A5"/>
    <w:rsid w:val="3878B30D"/>
    <w:rsid w:val="47106481"/>
    <w:rsid w:val="63C8CB1B"/>
    <w:rsid w:val="70B88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5EA5910C"/>
  <w15:chartTrackingRefBased/>
  <w15:docId w15:val="{18A011D2-EDA4-4DA2-A57A-6D542A39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0"/>
    </w:rPr>
  </w:style>
  <w:style w:type="paragraph" w:styleId="Header">
    <w:name w:val="header"/>
    <w:basedOn w:val="Normal"/>
    <w:rsid w:val="00924C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29C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23CE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3CEC"/>
  </w:style>
  <w:style w:type="character" w:customStyle="1" w:styleId="eop">
    <w:name w:val="eop"/>
    <w:basedOn w:val="DefaultParagraphFont"/>
    <w:rsid w:val="00A2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49C37542E84384474671FC419599" ma:contentTypeVersion="8" ma:contentTypeDescription="Create a new document." ma:contentTypeScope="" ma:versionID="8c53e3995e2779e336cf26f815d7a7ef">
  <xsd:schema xmlns:xsd="http://www.w3.org/2001/XMLSchema" xmlns:xs="http://www.w3.org/2001/XMLSchema" xmlns:p="http://schemas.microsoft.com/office/2006/metadata/properties" xmlns:ns2="477bd905-6d0e-4c9a-8c65-2bd1bfb324db" targetNamespace="http://schemas.microsoft.com/office/2006/metadata/properties" ma:root="true" ma:fieldsID="7efe74053232e33c854c0b314d81ca71" ns2:_="">
    <xsd:import namespace="477bd905-6d0e-4c9a-8c65-2bd1bfb32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d905-6d0e-4c9a-8c65-2bd1bfb32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D3DE5-DEBE-4DD3-B551-E6240EF65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38BC0-52C9-4003-8D48-B1E583D30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bd905-6d0e-4c9a-8c65-2bd1bfb32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1AE9E-75DF-493E-905F-B30619AFB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3533</Characters>
  <Application>Microsoft Office Word</Application>
  <DocSecurity>2</DocSecurity>
  <Lines>29</Lines>
  <Paragraphs>8</Paragraphs>
  <ScaleCrop>false</ScaleCrop>
  <Company>Saginaw County Mental Health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Manual</dc:title>
  <dc:subject/>
  <dc:creator>NBirdwell</dc:creator>
  <cp:keywords/>
  <cp:lastModifiedBy>Jenna Brown</cp:lastModifiedBy>
  <cp:revision>2</cp:revision>
  <cp:lastPrinted>2023-04-18T15:41:00Z</cp:lastPrinted>
  <dcterms:created xsi:type="dcterms:W3CDTF">2023-04-18T15:42:00Z</dcterms:created>
  <dcterms:modified xsi:type="dcterms:W3CDTF">2023-04-18T15:42:00Z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0x010100506949C37542E84384474671FC419599</vt:lpwstr>
  </property>
</Properties>
</file>